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bidi w:val="0"/>
        <w:spacing w:before="140" w:after="120"/>
        <w:jc w:val="left"/>
        <w:rPr>
          <w:rFonts w:ascii="PT Sans;Arial;Helvetica;sans-serif" w:hAnsi="PT Sans;Arial;Helvetica;sans-serif"/>
          <w:b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PT Sans;Arial;Helvetica;sans-serif" w:hAnsi="PT Sans;Arial;Helvetica;sans-serif"/>
          <w:b w:val="false"/>
          <w:i w:val="false"/>
          <w:caps w:val="false"/>
          <w:smallCaps w:val="false"/>
          <w:color w:val="000000"/>
          <w:spacing w:val="0"/>
          <w:sz w:val="30"/>
        </w:rPr>
        <w:t>Какие изменения в работу школы вносят новые ФГОС НОО и ООО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75" w:type="dxa"/>
          <w:left w:w="45" w:type="dxa"/>
          <w:bottom w:w="45" w:type="dxa"/>
          <w:right w:w="45" w:type="dxa"/>
        </w:tblCellMar>
      </w:tblPr>
      <w:tblGrid>
        <w:gridCol w:w="3431"/>
        <w:gridCol w:w="6207"/>
      </w:tblGrid>
      <w:tr>
        <w:trPr>
          <w:tblHeader w:val="true"/>
        </w:trPr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EEEEEE" w:val="clear"/>
            <w:vAlign w:val="center"/>
          </w:tcPr>
          <w:p>
            <w:pPr>
              <w:pStyle w:val="Style20"/>
              <w:bidi w:val="0"/>
              <w:rPr>
                <w:color w:val="0084A9"/>
              </w:rPr>
            </w:pPr>
            <w:r>
              <w:rPr>
                <w:color w:val="0084A9"/>
              </w:rPr>
              <w:t>Как было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EEEEEE" w:val="clear"/>
            <w:vAlign w:val="center"/>
          </w:tcPr>
          <w:p>
            <w:pPr>
              <w:pStyle w:val="Style20"/>
              <w:bidi w:val="0"/>
              <w:rPr>
                <w:color w:val="0084A9"/>
              </w:rPr>
            </w:pPr>
            <w:r>
              <w:rPr>
                <w:color w:val="0084A9"/>
              </w:rPr>
              <w:t>Как стало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Способы, которыми школа обеспечивает вариативность содержания программ НОО, ООО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Во </w:t>
            </w:r>
            <w:hyperlink r:id="rId2" w:tgtFrame="_blank">
              <w:r>
                <w:rPr>
                  <w:rStyle w:val="Style13"/>
                  <w:b/>
                  <w:color w:val="329A32"/>
                </w:rPr>
                <w:t>ФГОС НОО</w:t>
              </w:r>
            </w:hyperlink>
            <w:r>
              <w:rPr/>
              <w:t> и </w:t>
            </w:r>
            <w:hyperlink r:id="rId3" w:tgtFrame="_blank">
              <w:r>
                <w:rPr>
                  <w:rStyle w:val="Style13"/>
                  <w:b/>
                  <w:color w:val="329A32"/>
                </w:rPr>
                <w:t>ООО</w:t>
              </w:r>
            </w:hyperlink>
            <w:r>
              <w:rPr/>
              <w:t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и ООО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"https://e.rukobr.ru/npd-doc?npmid=97&amp;npid=489547&amp;anchor=dfasv1omg6" \l "dfasv1omg6"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6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"https://e.rukobr.ru/npd-doc?npmid=97&amp;npid=489548&amp;anchor=dfash5wnfp" \l "dfash5wnfp"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5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Требования к результатам освоения программы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Требований было меньше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Требования к результатам освоения программы уточнили и расширили по всем видам результатов – личностным, метапредметным,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"https://e.rukobr.ru/npd-doc?npmid=97&amp;npid=489547&amp;anchor=dfaszqlvzv" \l "dfaszqlvzv"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9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"https://e.rukobr.ru/npd-doc?npmid=97&amp;npid=489548&amp;anchor=dfassx13gb" \l "dfassx13gb"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8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Требования к пояснительной записке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Содержание пояснительной записки было разным для НОО и ООО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"https://e.rukobr.ru/npd-doc?npmid=97&amp;npid=489547&amp;anchor=dfasvexuvl" \l "dfasvexuvl"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30.1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НОО). А на уровне ООО понадобится добавить общую характеристику программы. Еще для ООО нужно описать механизмы реализации программы. это касается и индивидуальных учебных планов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"https://e.rukobr.ru/npd-doc?npmid=97&amp;npid=489548&amp;anchor=dfassgzqlv" \l "dfassgzqlv"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31.1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Требования к рабочим программам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Не было требований: к тематическому планированию курса внеурочки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теме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"https://e.rukobr.ru/npd-doc?npmid=97&amp;npid=489547&amp;anchor=dfas04naww" \l "dfas04naww"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31.1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"https://e.rukobr.ru/npd-doc?npmid=97&amp;npid=489548&amp;anchor=dfasdwo0vd" \l "dfasdwo0vd"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Содержание календарного плана воспитательной работы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"https://e.rukobr.ru/npd-doc?npmid=97&amp;npid=489547&amp;anchor=dfas0vuvdw" \l "dfas0vuvdw"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"https://e.rukobr.ru/npd-doc?npmid=97&amp;npid=489548&amp;anchor=dfas6o7soh" \l "dfas6o7soh"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Перечень обязательных предметных областей, учебных предметов и учебных модулей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Деление предметов и курсов по предметным областям было другим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"https://e.rukobr.ru/npd-doc?npmid=97&amp;npid=489547&amp;anchor=dfasmy3ctz" \l "dfasmy3ctz"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"https://e.rukobr.ru/npd-doc?npmid=97&amp;npid=489548&amp;anchor=dfassgyyfm" \l "dfassgyyfm"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33.1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Изучение родного и второго иностранного языка на уровне ООО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Включали в перечень обязательных предметных областей и учебных предметов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Теперь изучение родного и второго иностранного языка можно организовать, если для этого есть условия в школе. при этом также надо получить заявления родителей. Если ранее в школе не получали таких заявлений, нужно будет их собрать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"https://e.rukobr.ru/npd-doc?npmid=97&amp;npid=489548&amp;anchor=dfassgyyfm" \l "dfassgyyfm"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33.1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Объем часов аудиторной нагрузки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ФГОС НОО: 2904 – минимум, 3345 – максимум</w:t>
              <w:br/>
              <w:t>ФГОС ООО: 5267 – минимум, 6020 – максимум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ФГОС НОО: 2954 – минимум, 3190 – максимум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"https://e.rukobr.ru/npd-doc?npmid=97&amp;npid=489547&amp;anchor=dfasmy3ctz" \l "dfasmy3ctz"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НОО)</w:t>
              <w:br/>
              <w:t>ФГОС ООО: 5058 – минимум, 5549 – максимум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"https://e.rukobr.ru/npd-doc?npmid=97&amp;npid=489548&amp;anchor=dfassgyyfm" \l "dfassgyyfm"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33.1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Объем внеурочной деятельности на уровне НОО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1350 часов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1320 часов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"https://e.rukobr.ru/npd-doc?npmid=97&amp;npid=489547&amp;anchor=dfasmiplcf" \l "dfasmiplcf"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Требования к структуре содержательного раздела ООП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внеурочки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"https://e.rukobr.ru/npd-doc?npmid=97&amp;npid=489547&amp;anchor=dfasn154ml" \l "dfasn154ml"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"https://e.rukobr.ru/npd-doc?npmid=97&amp;npid=489548&amp;anchor=dfasncew9b" \l "dfasncew9b"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Особенности обучения детей с ОВЗ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Применяли ФГОС НОО и (или) ФГОС НОО ОВЗ и (или) ФГОС для у/о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"https://e.rukobr.ru/npd-doc?npmid=97&amp;npid=489548&amp;anchor=dfas0xqf3p" \l "dfas0xqf3p"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12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ООО). Предусмотрели вариации предметов. Например, для глухих и слабослышащих можно не включать в программу музыку. для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"https://e.rukobr.ru/npd-doc?npmid=97&amp;npid=489548&amp;anchor=dfassgyyfm" \l "dfassgyyfm"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33.1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Использование электронных средств обучения, дистанционных технологий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Настолько подробных норм не было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"https://e.rukobr.ru/npd-doc?npmid=97&amp;npid=489547&amp;anchor=dfas2e0y0m" \l "dfas2e0y0m"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19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"https://e.rukobr.ru/npd-doc?npmid=97&amp;npid=489548&amp;anchor=dfasrvkugw" \l "dfasrvkugw"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19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"https://e.rukobr.ru/npd-doc?npmid=97&amp;npid=489547&amp;anchor=dfasrgeoko" \l "dfasrgeoko"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34.4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"https://e.rukobr.ru/npd-doc?npmid=97&amp;npid=489548&amp;anchor=dfasqoxtco" \l "dfasqoxtco"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35.4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Деление учеников на группы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Прямого регулирования не было, лишь упоминали о групповых формах работы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Зафиксировали, что образовательную деятельность можно организовать при помощи деления на группы. при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"https://e.rukobr.ru/npd-doc?npmid=97&amp;npid=489547&amp;anchor=dfase0m860" \l "dfase0m860"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20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"https://e.rukobr.ru/npd-doc?npmid=97&amp;npid=489548&amp;anchor=dfasa3swo0" \l "dfasa3swo0"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20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Требования к программе формирования универсальных учебных действий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Требований и норм было больше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"https://e.rukobr.ru/npd-doc?npmid=97&amp;npid=489548&amp;anchor=dfas95wg7m" \l "dfas95wg7m"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Рабочая программа воспитания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Рабочая программа воспитания НОО должна была быть модульной и включать в себя обязательные разделы. для рабочей программы воспитания ООО было меньше требований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"https://e.rukobr.ru/npd-doc?npmid=97&amp;npid=489547&amp;anchor=dfaskimdls" \l "dfaskimdls"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31.3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НОО). для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"https://e.rukobr.ru/npd-doc?npmid=97&amp;npid=489548&amp;anchor=dfasmiyh33" \l "dfasmiyh33"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32.3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Информационно-образовательная среда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Для учеников в школьной библиотеке надо было организовать доступ к информационным интернет-ресурсам, коллекциям медиаресурсов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"https://e.rukobr.ru/npd-doc?npmid=97&amp;npid=489547&amp;anchor=dfasz720uu" \l "dfasz720uu"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34.3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"https://e.rukobr.ru/npd-doc?npmid=97&amp;npid=489548&amp;anchor=dfasokzkx9" \l "dfasokzkx9"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35.3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Оснащение кабинетов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Новые ФГОС ООО устанавливают требования к оснащению кабинетов по отдельным предметным областям. В частности, кабинеты естественно-научного цикла нужно оборудовать комплектами специального лабораторного оборудования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"https://e.rukobr.ru/npd-doc?npmid=97&amp;npid=489548&amp;anchor=dfasdqez4z" \l "dfasdqez4z"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36.3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Обеспечение учебниками и учебными пособиями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"https://e.rukobr.ru/npd-doc?npmid=97&amp;npid=489547&amp;anchor=dfas58m0p2" \l "dfas58m0p2"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36.1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"https://e.rukobr.ru/npd-doc?npmid=97&amp;npid=489548&amp;anchor=dfasr7u3v4" \l "dfasr7u3v4"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37.3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Психолого-педагогические условия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Требований было меньше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В новых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"https://e.rukobr.ru/npd-doc?npmid=97&amp;npid=489547&amp;anchor=dfaseqz7bn" \l "dfaseqz7bn"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37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"https://e.rukobr.ru/npd-doc?npmid=97&amp;npid=489548&amp;anchor=dfas55s2zb" \l "dfas55s2zb"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38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года и обязан систематически повышать квалификацию. Но теперь нет указания, как часто он должен это делать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"https://e.rukobr.ru/npd-doc?npmid=97&amp;npid=489547&amp;anchor=dfaswo7wy4" \l "dfaswo7wy4"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38.2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"https://e.rukobr.ru/npd-doc?npmid=97&amp;npid=489548&amp;anchor=dfasvst5i5" \l "dfasvst5i5"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39.2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</w:rPr>
            </w:pPr>
            <w:r>
              <w:rPr>
                <w:b/>
              </w:rPr>
              <w:t>Частные школы</w:t>
            </w:r>
          </w:p>
        </w:tc>
      </w:tr>
      <w:tr>
        <w:trPr/>
        <w:tc>
          <w:tcPr>
            <w:tcW w:w="343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школ. при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6207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  <w:shd w:fill="auto" w:val="clear"/>
            <w:tcMar>
              <w:top w:w="120" w:type="dxa"/>
            </w:tcMar>
            <w:vAlign w:val="center"/>
          </w:tcPr>
          <w:p>
            <w:pPr>
              <w:pStyle w:val="Style19"/>
              <w:suppressLineNumbers/>
              <w:bidi w:val="0"/>
              <w:jc w:val="left"/>
              <w:rPr/>
            </w:pPr>
            <w:r>
              <w:rPr/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"https://e.rukobr.ru/npd-doc?npmid=97&amp;npid=489547&amp;anchor=dfastmm30u" \l "dfastmm30u"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39.4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НОО, </w:t>
            </w:r>
            <w:r>
              <w:fldChar w:fldCharType="begin"/>
            </w:r>
            <w:r>
              <w:rPr>
                <w:rStyle w:val="Style13"/>
                <w:b/>
              </w:rPr>
              <w:instrText> HYPERLINK "https://e.rukobr.ru/npd-doc?npmid=97&amp;npid=489548&amp;anchor=dfas02nf9d" \l "dfas02nf9d" \n _blank</w:instrText>
            </w:r>
            <w:r>
              <w:rPr>
                <w:rStyle w:val="Style13"/>
                <w:b/>
              </w:rPr>
              <w:fldChar w:fldCharType="separate"/>
            </w:r>
            <w:r>
              <w:rPr>
                <w:rStyle w:val="Style13"/>
                <w:b/>
                <w:color w:val="329A32"/>
              </w:rPr>
              <w:t>п. 40.5</w:t>
            </w:r>
            <w:r>
              <w:rPr>
                <w:rStyle w:val="Style13"/>
                <w:b/>
              </w:rPr>
              <w:fldChar w:fldCharType="end"/>
            </w:r>
            <w:r>
              <w:rPr/>
              <w:t> ФГОС ООО)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20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rukobr.ru/npd-doc?npmid=97&amp;npid=489547" TargetMode="External"/><Relationship Id="rId3" Type="http://schemas.openxmlformats.org/officeDocument/2006/relationships/hyperlink" Target="https://e.rukobr.ru/npd-doc?npmid=97&amp;npid=48954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5</Pages>
  <Words>1424</Words>
  <Characters>9118</Characters>
  <CharactersWithSpaces>10490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2022-02-18T13:49:20Z</dcterms:created>
  <dc:creator/>
  <dc:description/>
  <dc:language>ru-RU</dc:language>
  <cp:lastModifiedBy/>
  <dcterms:modified xsi:type="dcterms:W3CDTF">2022-02-18T13:52:12Z</dcterms:modified>
  <cp:revision>1</cp:revision>
  <dc:subject/>
  <dc:title/>
</cp:coreProperties>
</file>